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A09C1" w14:textId="77777777" w:rsidR="00C77927" w:rsidRPr="00C77927" w:rsidRDefault="00C77927" w:rsidP="00C7792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77927">
        <w:rPr>
          <w:rFonts w:ascii="Times New Roman" w:eastAsia="Calibri" w:hAnsi="Times New Roman" w:cs="Times New Roman"/>
          <w:b/>
          <w:sz w:val="24"/>
          <w:szCs w:val="24"/>
        </w:rPr>
        <w:t>Proračunski korisnik 26338 DJEČJI VRTIĆ GRIGOR VITEZ SAMOBOR</w:t>
      </w:r>
    </w:p>
    <w:tbl>
      <w:tblPr>
        <w:tblW w:w="10210" w:type="dxa"/>
        <w:tblInd w:w="-459" w:type="dxa"/>
        <w:tblLook w:val="04A0" w:firstRow="1" w:lastRow="0" w:firstColumn="1" w:lastColumn="0" w:noHBand="0" w:noVBand="1"/>
      </w:tblPr>
      <w:tblGrid>
        <w:gridCol w:w="1602"/>
        <w:gridCol w:w="2680"/>
        <w:gridCol w:w="992"/>
        <w:gridCol w:w="1135"/>
        <w:gridCol w:w="1276"/>
        <w:gridCol w:w="1275"/>
        <w:gridCol w:w="1250"/>
      </w:tblGrid>
      <w:tr w:rsidR="00C77927" w:rsidRPr="00C77927" w14:paraId="57BFE309" w14:textId="77777777" w:rsidTr="00D66A55">
        <w:trPr>
          <w:trHeight w:val="266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14:paraId="1874E69D" w14:textId="77777777" w:rsidR="00C77927" w:rsidRPr="00C77927" w:rsidRDefault="00C77927" w:rsidP="00C77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Program:  DRUŠTVENA BRIGA O DJECI PREDŠKOLSKE DOBI </w:t>
            </w:r>
          </w:p>
        </w:tc>
      </w:tr>
      <w:tr w:rsidR="00C77927" w:rsidRPr="00C77927" w14:paraId="08E498ED" w14:textId="77777777" w:rsidTr="00D66A55">
        <w:trPr>
          <w:trHeight w:val="576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5AD7A" w14:textId="77777777" w:rsidR="00C77927" w:rsidRPr="00C77927" w:rsidRDefault="00C77927" w:rsidP="00C77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Zakonske i druge pravne osnove programa: </w:t>
            </w:r>
          </w:p>
          <w:p w14:paraId="788D2005" w14:textId="77777777" w:rsidR="00C77927" w:rsidRPr="00C77927" w:rsidRDefault="00C77927" w:rsidP="00C77927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ustanovama (NN </w:t>
            </w:r>
            <w:hyperlink r:id="rId5" w:tooltip="zakon o ustanovama" w:history="1">
              <w:r w:rsidRPr="00C77927">
                <w:rPr>
                  <w:rFonts w:ascii="Times New Roman" w:eastAsia="Times New Roman" w:hAnsi="Times New Roman" w:cs="Times New Roman"/>
                  <w:sz w:val="20"/>
                  <w:szCs w:val="20"/>
                  <w:lang w:eastAsia="hr-HR"/>
                </w:rPr>
                <w:t>76/93</w:t>
              </w:r>
            </w:hyperlink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, </w:t>
            </w:r>
            <w:hyperlink r:id="rId6" w:tooltip="ispravak zakona o ustanovama" w:history="1">
              <w:r w:rsidRPr="00C77927">
                <w:rPr>
                  <w:rFonts w:ascii="Times New Roman" w:eastAsia="Times New Roman" w:hAnsi="Times New Roman" w:cs="Times New Roman"/>
                  <w:sz w:val="20"/>
                  <w:szCs w:val="20"/>
                  <w:lang w:eastAsia="hr-HR"/>
                </w:rPr>
                <w:t>29/97</w:t>
              </w:r>
            </w:hyperlink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, </w:t>
            </w:r>
            <w:hyperlink r:id="rId7" w:tooltip="ispravak zakona o ustanovama" w:history="1">
              <w:r w:rsidRPr="00C77927">
                <w:rPr>
                  <w:rFonts w:ascii="Times New Roman" w:eastAsia="Times New Roman" w:hAnsi="Times New Roman" w:cs="Times New Roman"/>
                  <w:sz w:val="20"/>
                  <w:szCs w:val="20"/>
                  <w:lang w:eastAsia="hr-HR"/>
                </w:rPr>
                <w:t>47/99</w:t>
              </w:r>
            </w:hyperlink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, </w:t>
            </w:r>
            <w:hyperlink r:id="rId8" w:tooltip="zakon o izmjenama i dopuni zakona o ustanovama" w:history="1">
              <w:r w:rsidRPr="00C77927">
                <w:rPr>
                  <w:rFonts w:ascii="Times New Roman" w:eastAsia="Times New Roman" w:hAnsi="Times New Roman" w:cs="Times New Roman"/>
                  <w:sz w:val="20"/>
                  <w:szCs w:val="20"/>
                  <w:lang w:eastAsia="hr-HR"/>
                </w:rPr>
                <w:t>35/08</w:t>
              </w:r>
            </w:hyperlink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 127/19), </w:t>
            </w:r>
          </w:p>
          <w:p w14:paraId="59126603" w14:textId="77777777" w:rsidR="00C77927" w:rsidRPr="00C77927" w:rsidRDefault="00C77927" w:rsidP="00C77927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predškolskom odgoju i obrazovanju (NN 10/97, 107/07, 94/13 i 98/19), </w:t>
            </w:r>
          </w:p>
          <w:p w14:paraId="31E06738" w14:textId="77777777" w:rsidR="00C77927" w:rsidRPr="00C77927" w:rsidRDefault="00C77927" w:rsidP="00C77927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Državni pedagoški standard predškolskog odgoja i naobrazbe (NN 63/08 i 90/10)</w:t>
            </w:r>
          </w:p>
        </w:tc>
      </w:tr>
      <w:tr w:rsidR="00C77927" w:rsidRPr="00C77927" w14:paraId="5871E7C8" w14:textId="77777777" w:rsidTr="00D66A55">
        <w:trPr>
          <w:trHeight w:val="576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B7DCF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Razvojna mjera</w:t>
            </w: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Pr="00C7792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2021.-2025. g).:</w:t>
            </w:r>
          </w:p>
          <w:p w14:paraId="4DA65380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5. Briga o djeci</w:t>
            </w:r>
          </w:p>
          <w:p w14:paraId="00DE4586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14:paraId="6A1DC7FF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138E62D3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C77927" w:rsidRPr="00C77927" w14:paraId="38465220" w14:textId="77777777" w:rsidTr="00D66A55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4D5C72A" w14:textId="77777777" w:rsidR="00C77927" w:rsidRPr="00C77927" w:rsidRDefault="00C77927" w:rsidP="00C77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REDOVNA DJELATNOST DJEČJEG VRTIĆA </w:t>
            </w:r>
          </w:p>
        </w:tc>
      </w:tr>
      <w:tr w:rsidR="00C77927" w:rsidRPr="00C77927" w14:paraId="607EA30E" w14:textId="77777777" w:rsidTr="00D66A55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747B" w14:textId="77777777" w:rsidR="00C77927" w:rsidRPr="00C77927" w:rsidRDefault="00C77927" w:rsidP="00C77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913D" w14:textId="77777777" w:rsidR="00C77927" w:rsidRPr="00C77927" w:rsidRDefault="00C77927" w:rsidP="00C77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66A55" w:rsidRPr="00C77927" w14:paraId="6622F9D0" w14:textId="77777777" w:rsidTr="00D66A55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3E61" w14:textId="77777777" w:rsidR="00D66A55" w:rsidRPr="00C77927" w:rsidRDefault="00D66A55" w:rsidP="00D6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F778" w14:textId="32670BAE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5D2F" w14:textId="163190E5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9C74" w14:textId="6B9C83D0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C77927" w:rsidRPr="00C77927" w14:paraId="748B2DD9" w14:textId="77777777" w:rsidTr="00D66A55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67B26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Troškove redovne djelatnosti DV Grigor Vitez snosi osnivač ustanove – Grad Samobor i roditelji djece koja polaze vrtić.</w:t>
            </w:r>
          </w:p>
          <w:p w14:paraId="4D3F51CC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Unutar ove aktivnosti, iz izvora opći prihodi i primici, financiraju se izdaci za radnike: bruto plaće, ostali rashodi za zaposlene (božićnice, regres i dr.) te naknada zbog nezapošljavanja osoba s invaliditetom. Iznosi za plaće, doprinose i ostala materijalna prava planirani su na bazi 130 radnika. Osnovica za obračun plaće utvrđuje se Odlukom o izvršavanju Proračuna Grada Samobora te za 2022. iznosi 3.515,00 kuna, dok se koeficijenti složenosti poslova te ostala materijalna prava propisuju Pravilnicima o radu dječjih vrtića. </w:t>
            </w:r>
          </w:p>
          <w:p w14:paraId="1131D5A8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Svi ostali troškovi vrtića (prehrana djece, materijalni izdaci, energija i komunalije, tekuće održavanje objekata i opreme, nabava namještaja i opreme, nabava sitnog materijala) financiraju se roditeljskim uplatama i vlastitim prihodima vrtića. Ishodište za procjenu navedenih troškova u razdoblju 2022. – 2024. godine su ostvareni prihodi i izvršeni rashodi prethodnih godina.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39A4" w14:textId="1A6F2BAC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177A" w14:textId="50850720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876D" w14:textId="6E79C4EF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C77927" w:rsidRPr="00C77927" w14:paraId="0CA4A155" w14:textId="77777777" w:rsidTr="00D66A55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A6AC217" w14:textId="77777777" w:rsidR="00C77927" w:rsidRPr="00C77927" w:rsidRDefault="00C77927" w:rsidP="00C77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PROGRAM JAVNIH POTREBA – PREDŠKOLA I TUR </w:t>
            </w:r>
          </w:p>
        </w:tc>
      </w:tr>
      <w:tr w:rsidR="00C77927" w:rsidRPr="00C77927" w14:paraId="2CC806D1" w14:textId="77777777" w:rsidTr="00D66A55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FD77" w14:textId="77777777" w:rsidR="00C77927" w:rsidRPr="00C77927" w:rsidRDefault="00C77927" w:rsidP="00C77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91ED" w14:textId="77777777" w:rsidR="00C77927" w:rsidRPr="00C77927" w:rsidRDefault="00C77927" w:rsidP="00C77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66A55" w:rsidRPr="00C77927" w14:paraId="0BBDF557" w14:textId="77777777" w:rsidTr="00D66A55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51FA" w14:textId="77777777" w:rsidR="00D66A55" w:rsidRPr="00C77927" w:rsidRDefault="00D66A55" w:rsidP="00D6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9353" w14:textId="54B549DA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B724" w14:textId="0D4E8469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8758" w14:textId="12772329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C77927" w:rsidRPr="00C77927" w14:paraId="11E69072" w14:textId="77777777" w:rsidTr="00D66A55">
        <w:trPr>
          <w:trHeight w:val="945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9D131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Program </w:t>
            </w:r>
            <w:proofErr w:type="spellStart"/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predškole</w:t>
            </w:r>
            <w:proofErr w:type="spellEnd"/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obvezan je program odgojno-obrazovnoga rada s djecom u godini dana prije polaska u osnovnu školu te se provodi u trajanju od 250 sati. </w:t>
            </w:r>
          </w:p>
          <w:p w14:paraId="095AFC54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Program </w:t>
            </w:r>
            <w:proofErr w:type="spellStart"/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predškole</w:t>
            </w:r>
            <w:proofErr w:type="spellEnd"/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te program za djecu s teškoćama u razvoju koja su integrirana u redovite skupine u DV Grigor Vitez sufinanciran je od strane Ministarstva znanosti i obrazovanja. Iz navedenih sredstava vrši se kupnja didaktike i materijala, opreme  te stručno usavršavanje odgojitelja.</w:t>
            </w:r>
          </w:p>
          <w:p w14:paraId="028EC67C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 xml:space="preserve">Ishodište za procjenu planiranih rashoda u razdoblju od 2021. – 2023. godine temelji se na broju djece u programu </w:t>
            </w:r>
            <w:proofErr w:type="spellStart"/>
            <w:r w:rsidRPr="00C779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predškole</w:t>
            </w:r>
            <w:proofErr w:type="spellEnd"/>
            <w:r w:rsidRPr="00C779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 xml:space="preserve"> i djece s teškoćama u razvoju koja su integrirana u redovite programe te iznosima sufinanciranja od strane MZO, i to:</w:t>
            </w:r>
          </w:p>
          <w:p w14:paraId="3A613DB7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 xml:space="preserve">- 20,00 kn po djetetu u programu </w:t>
            </w:r>
            <w:proofErr w:type="spellStart"/>
            <w:r w:rsidRPr="00C779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predškole</w:t>
            </w:r>
            <w:proofErr w:type="spellEnd"/>
          </w:p>
          <w:p w14:paraId="3F8977F0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- od 400,00 kn do 800,00 kn po djetetu s teškoćama u razvoju.</w:t>
            </w:r>
          </w:p>
          <w:p w14:paraId="17CB1698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 xml:space="preserve">Ministarstvo znanosti i obrazovanja upućuje dječje vrtiće da doznačena sredstva koriste za nabavu didaktičkih sredstava, stručno usavršavanje i nabavu suvremene literature. Raspored financijskih sredstva po pojedinoj vrsti rashoda temelji se na iskazanim potrebama Dječjeg vrtića Grigor Vitez.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E87FA" w14:textId="38C8DD52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37BF4" w14:textId="51B21B29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1C53" w14:textId="7F8CA565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C77927" w:rsidRPr="00C77927" w14:paraId="167DBAB6" w14:textId="77777777" w:rsidTr="00D66A55">
        <w:trPr>
          <w:trHeight w:val="300"/>
        </w:trPr>
        <w:tc>
          <w:tcPr>
            <w:tcW w:w="10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540154B" w14:textId="77777777" w:rsidR="00C77927" w:rsidRPr="00C77927" w:rsidRDefault="00C77927" w:rsidP="00C77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</w:t>
            </w:r>
            <w:r w:rsidRPr="00C779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NABAVA NEFINANCIJSKE IMOVINE </w:t>
            </w:r>
          </w:p>
        </w:tc>
      </w:tr>
      <w:tr w:rsidR="00C77927" w:rsidRPr="00C77927" w14:paraId="3403FB21" w14:textId="77777777" w:rsidTr="00D66A55">
        <w:trPr>
          <w:trHeight w:val="251"/>
        </w:trPr>
        <w:tc>
          <w:tcPr>
            <w:tcW w:w="6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9123" w14:textId="77777777" w:rsidR="00C77927" w:rsidRPr="00C77927" w:rsidRDefault="00C77927" w:rsidP="00C77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CE52" w14:textId="77777777" w:rsidR="00C77927" w:rsidRPr="00C77927" w:rsidRDefault="00C77927" w:rsidP="00C77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D66A55" w:rsidRPr="00C77927" w14:paraId="24C78530" w14:textId="77777777" w:rsidTr="00D66A55">
        <w:trPr>
          <w:trHeight w:val="207"/>
        </w:trPr>
        <w:tc>
          <w:tcPr>
            <w:tcW w:w="6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E494" w14:textId="77777777" w:rsidR="00D66A55" w:rsidRPr="00C77927" w:rsidRDefault="00D66A55" w:rsidP="00D66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AF1A" w14:textId="121FFFBC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27CE" w14:textId="27C17D9C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B585" w14:textId="27A45219" w:rsidR="00D66A55" w:rsidRPr="00C77927" w:rsidRDefault="00D66A55" w:rsidP="00D66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C77927" w:rsidRPr="00C77927" w14:paraId="6B8EB1F1" w14:textId="77777777" w:rsidTr="00D66A55">
        <w:trPr>
          <w:trHeight w:val="567"/>
        </w:trPr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D5310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Rashodi su predviđeni za nabavu dugotrajne imovine za DV Grigor Vitez iz vlastitih prihoda vrtića i roditeljskih uplata.</w:t>
            </w:r>
          </w:p>
          <w:p w14:paraId="5278515F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Nabava nefinancijske imovine vrši se sukcesivno tijekom godine, sukladno Planu nabave, a uključuje: sitni inventar i didaktiku, klima uređaje, sprave za igrališta, namještaj, aparate za potrebe opremanja kuhinje.</w:t>
            </w:r>
          </w:p>
          <w:p w14:paraId="6CD68B11" w14:textId="77777777" w:rsidR="00C77927" w:rsidRPr="00C77927" w:rsidRDefault="00C77927" w:rsidP="00C77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7792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financijska sredstva temelje se na iskazanim potrebama DV Grigor Vitez za nabavu dugotrajne nefinancijske imovine te ponudama za nabavu iste.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F80B" w14:textId="18BC6400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BB5A" w14:textId="000346B6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4130" w14:textId="65EE3F67" w:rsidR="00C77927" w:rsidRPr="00C77927" w:rsidRDefault="00C77927" w:rsidP="00C77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D66A55" w:rsidRPr="00C77927" w14:paraId="744D69B0" w14:textId="77777777" w:rsidTr="00D66A55">
        <w:trPr>
          <w:trHeight w:val="567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53E0" w14:textId="354DA50B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Pokazatelj uspješnosti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3E80" w14:textId="5BB12ED4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Definicija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36B8" w14:textId="375E723A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EF29" w14:textId="3D50F489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BC200" w14:textId="5EABCB5C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4621" w14:textId="0A71CB14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52871" w14:textId="716341F7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D66A55" w:rsidRPr="00C77927" w14:paraId="4BBC45F8" w14:textId="77777777" w:rsidTr="00D66A55">
        <w:trPr>
          <w:trHeight w:val="567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DDC85" w14:textId="5E41B550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Ukupni broj upisane djece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9BE1" w14:textId="3923A92C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Ukupni broj upisane djece u redovni 10-satni program i program </w:t>
            </w:r>
            <w:proofErr w:type="spellStart"/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predškole</w:t>
            </w:r>
            <w:proofErr w:type="spellEnd"/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(akt. 5.1. Redovna djelatnost vrtića, PPGS)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DE1A" w14:textId="281DC7EA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8F2C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F4B0D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F0D0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3328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66A55" w:rsidRPr="00C77927" w14:paraId="589BA63F" w14:textId="77777777" w:rsidTr="00D66A55">
        <w:trPr>
          <w:trHeight w:val="567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F864F" w14:textId="5364492B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Broj novoupisane djece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040B7" w14:textId="198B2810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Broj novoupisane djece (akt. 5.1. Redovna djelatnost vrtića, PPGS)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9947" w14:textId="0A8CAF4E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08BD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3399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2E81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CE00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66A55" w:rsidRPr="00C77927" w14:paraId="76AD5EC4" w14:textId="77777777" w:rsidTr="00D66A55">
        <w:trPr>
          <w:trHeight w:val="567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FE69" w14:textId="4213BCB4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Broj djece obuhvaćene programom predškolskog odgoja i obrazovanja u gradskim dječjim vrtićima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CBCE" w14:textId="522DED5F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Radi poboljšanja kvalitete odgoja, obrazovanja i skrbi o djeci rane i predškolske dobi te usklađivanja s Državnim pedagoškim standardom predškolskog odgoja i naobrazbe potrebno je održati postojeći odnosno eventualno smanjiti ukupan broj upisane djece u redovni 10-satni program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5728" w14:textId="46F82B88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71A6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B829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C1FB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27FCB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66A55" w:rsidRPr="00C77927" w14:paraId="2C4F7A4D" w14:textId="77777777" w:rsidTr="00D66A55">
        <w:trPr>
          <w:trHeight w:val="567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D0797" w14:textId="18F2044F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djece u kraćem programu </w:t>
            </w:r>
            <w:proofErr w:type="spellStart"/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predškole</w:t>
            </w:r>
            <w:proofErr w:type="spellEnd"/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19C6" w14:textId="39AAC7F7" w:rsidR="00D66A55" w:rsidRPr="000C35BB" w:rsidRDefault="00D66A55" w:rsidP="00D66A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Omogućiti svoj djeci u godini dana prije polaska u osnovnu školu pohađanje programa </w:t>
            </w:r>
            <w:proofErr w:type="spellStart"/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predškole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ACC1" w14:textId="67C6141D" w:rsidR="00D66A55" w:rsidRPr="000C35BB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C35BB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2A47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0A82F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0C400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C254B" w14:textId="77777777" w:rsidR="00D66A55" w:rsidRPr="00D66A55" w:rsidRDefault="00D66A55" w:rsidP="00D66A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4121C29C" w14:textId="77777777" w:rsidR="000C35BB" w:rsidRDefault="000C35BB" w:rsidP="00D66A55"/>
    <w:sectPr w:rsidR="000C35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49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927"/>
    <w:rsid w:val="000C35BB"/>
    <w:rsid w:val="00311D62"/>
    <w:rsid w:val="00C77927"/>
    <w:rsid w:val="00D448AC"/>
    <w:rsid w:val="00D6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3B6D2"/>
  <w15:chartTrackingRefBased/>
  <w15:docId w15:val="{A7C9348E-B7C2-41B3-B775-2ED649D8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08B35A1142&amp;Ver=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hr/Publication/Content.aspx?Sopi=NN1999B47A924&amp;Ver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hr/Publication/Content.aspx?Sopi=NN1997B29A427&amp;Ver=2" TargetMode="External"/><Relationship Id="rId5" Type="http://schemas.openxmlformats.org/officeDocument/2006/relationships/hyperlink" Target="http://www.iusinfo.hr/Publication/Content.aspx?Sopi=NN1993B76A1548&amp;V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760</Words>
  <Characters>4335</Characters>
  <Application>Microsoft Office Word</Application>
  <DocSecurity>0</DocSecurity>
  <Lines>36</Lines>
  <Paragraphs>10</Paragraphs>
  <ScaleCrop>false</ScaleCrop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4</cp:revision>
  <dcterms:created xsi:type="dcterms:W3CDTF">2022-09-20T06:36:00Z</dcterms:created>
  <dcterms:modified xsi:type="dcterms:W3CDTF">2022-10-07T15:29:00Z</dcterms:modified>
</cp:coreProperties>
</file>